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F3864"/>
          <w:sz w:val="40"/>
          <w:szCs w:val="40"/>
        </w:rPr>
        <w:t xml:space="preserve">Sarva RCM Integration API</w:t>
      </w:r>
    </w:p>
    <w:p>
      <w:pPr>
        <w:spacing w:after="60"/>
        <w:jc w:val="center"/>
      </w:pPr>
      <w:r>
        <w:rPr>
          <w:b/>
          <w:bCs/>
          <w:color w:val="595959"/>
          <w:sz w:val="28"/>
          <w:szCs w:val="28"/>
        </w:rPr>
        <w:t xml:space="preserve">Assessment &amp; Recommendation</w:t>
      </w:r>
    </w:p>
    <w:p>
      <w:pPr>
        <w:spacing w:after="320"/>
        <w:jc w:val="center"/>
      </w:pPr>
      <w:r>
        <w:rPr>
          <w:i/>
          <w:iCs/>
          <w:color w:val="595959"/>
          <w:sz w:val="20"/>
          <w:szCs w:val="20"/>
        </w:rPr>
        <w:t xml:space="preserve">Prepared for the Charge Validation Process automation project</w:t>
      </w:r>
    </w:p>
    <w:p>
      <w:pPr>
        <w:pStyle w:val="Heading1"/>
        <w:spacing w:after="160" w:before="320"/>
      </w:pPr>
      <w:r>
        <w:rPr>
          <w:b/>
          <w:bCs/>
          <w:color w:val="1F3864"/>
          <w:sz w:val="26"/>
          <w:szCs w:val="26"/>
        </w:rPr>
        <w:t xml:space="preserve">Purpose</w:t>
      </w:r>
    </w:p>
    <w:p>
      <w:pPr>
        <w:spacing w:after="160" w:line="300"/>
      </w:pPr>
      <w:r>
        <w:rPr>
          <w:sz w:val="22"/>
          <w:szCs w:val="22"/>
        </w:rPr>
        <w:t xml:space="preserve">A vendor document, “Sarva RCM Integration API,” was reviewed to determine whether it could be adopted as part of, or in place of, the Charge Validation Process automation currently in place for Salud Family Health Centers' eClinicalWorks (eCW) claims. This memo summarizes that review and the resulting recommendation: the API is not applicable to this project.</w:t>
      </w:r>
    </w:p>
    <w:p>
      <w:pPr>
        <w:pStyle w:val="Heading1"/>
        <w:spacing w:after="160" w:before="320"/>
      </w:pPr>
      <w:r>
        <w:rPr>
          <w:b/>
          <w:bCs/>
          <w:color w:val="1F3864"/>
          <w:sz w:val="26"/>
          <w:szCs w:val="26"/>
        </w:rPr>
        <w:t xml:space="preserve">What the Sarva API Offers</w:t>
      </w:r>
    </w:p>
    <w:p>
      <w:pPr>
        <w:spacing w:after="160" w:line="300"/>
      </w:pPr>
      <w:r>
        <w:rPr>
          <w:sz w:val="22"/>
          <w:szCs w:val="22"/>
        </w:rPr>
        <w:t xml:space="preserve">The Sarva RCM Integration API is a proposed interface (its own cover page describes it as “a contract specification… open to revision before implementation”) for automating four processes through third-party clearinghouses and payer portals — not through eCW:</w:t>
      </w:r>
    </w:p>
    <w:p>
      <w:pPr>
        <w:pStyle w:val="ListParagraph"/>
        <w:numPr>
          <w:ilvl w:val="0"/>
          <w:numId w:val="2"/>
        </w:numPr>
        <w:spacing w:after="120" w:line="300"/>
      </w:pPr>
      <w:r>
        <w:rPr>
          <w:b/>
          <w:bCs/>
          <w:sz w:val="22"/>
          <w:szCs w:val="22"/>
        </w:rPr>
        <w:t xml:space="preserve">Claim status</w:t>
      </w:r>
      <w:r>
        <w:rPr>
          <w:sz w:val="22"/>
          <w:szCs w:val="22"/>
        </w:rPr>
        <w:t xml:space="preserve"> — asks a clearinghouse or payer portal whether a submitted claim has been paid, denied, or is still in process.</w:t>
      </w:r>
    </w:p>
    <w:p>
      <w:pPr>
        <w:pStyle w:val="ListParagraph"/>
        <w:numPr>
          <w:ilvl w:val="0"/>
          <w:numId w:val="2"/>
        </w:numPr>
        <w:spacing w:after="120" w:line="300"/>
      </w:pPr>
      <w:r>
        <w:rPr>
          <w:b/>
          <w:bCs/>
          <w:sz w:val="22"/>
          <w:szCs w:val="22"/>
        </w:rPr>
        <w:t xml:space="preserve">Denial management</w:t>
      </w:r>
      <w:r>
        <w:rPr>
          <w:sz w:val="22"/>
          <w:szCs w:val="22"/>
        </w:rPr>
        <w:t xml:space="preserve"> — retrieves and classifies denied claims, and recommends an action such as appeal or resubmission.</w:t>
      </w:r>
    </w:p>
    <w:p>
      <w:pPr>
        <w:pStyle w:val="ListParagraph"/>
        <w:numPr>
          <w:ilvl w:val="0"/>
          <w:numId w:val="2"/>
        </w:numPr>
        <w:spacing w:after="120" w:line="300"/>
      </w:pPr>
      <w:r>
        <w:rPr>
          <w:b/>
          <w:bCs/>
          <w:sz w:val="22"/>
          <w:szCs w:val="22"/>
        </w:rPr>
        <w:t xml:space="preserve">Payment posting</w:t>
      </w:r>
      <w:r>
        <w:rPr>
          <w:sz w:val="22"/>
          <w:szCs w:val="22"/>
        </w:rPr>
        <w:t xml:space="preserve"> — takes a remittance file and posts the payment amounts against the matching claims.</w:t>
      </w:r>
    </w:p>
    <w:p>
      <w:pPr>
        <w:pStyle w:val="ListParagraph"/>
        <w:numPr>
          <w:ilvl w:val="0"/>
          <w:numId w:val="2"/>
        </w:numPr>
        <w:spacing w:after="120" w:line="300"/>
      </w:pPr>
      <w:r>
        <w:rPr>
          <w:b/>
          <w:bCs/>
          <w:sz w:val="22"/>
          <w:szCs w:val="22"/>
        </w:rPr>
        <w:t xml:space="preserve">Charge entry</w:t>
      </w:r>
      <w:r>
        <w:rPr>
          <w:sz w:val="22"/>
          <w:szCs w:val="22"/>
        </w:rPr>
        <w:t xml:space="preserve"> — takes raw encounter data (diagnoses and charges) and creates a brand-new claim in a practice-management system, returning a claim number.</w:t>
      </w:r>
    </w:p>
    <w:p>
      <w:pPr>
        <w:spacing w:after="160" w:line="300"/>
      </w:pPr>
      <w:r>
        <w:rPr>
          <w:sz w:val="22"/>
          <w:szCs w:val="22"/>
        </w:rPr>
        <w:t xml:space="preserve">All four processes route through named clearinghouses — TriZetto, Availity, UnitedHealthcare's provider portal, and Stedi — with eCW mentioned nowhere in the specification.</w:t>
      </w:r>
    </w:p>
    <w:p>
      <w:pPr>
        <w:pStyle w:val="Heading1"/>
        <w:spacing w:after="160" w:before="320"/>
      </w:pPr>
      <w:r>
        <w:rPr>
          <w:b/>
          <w:bCs/>
          <w:color w:val="1F3864"/>
          <w:sz w:val="26"/>
          <w:szCs w:val="26"/>
        </w:rPr>
        <w:t xml:space="preserve">What the Charge Validation Process Does Today</w:t>
      </w:r>
    </w:p>
    <w:p>
      <w:pPr>
        <w:spacing w:after="160" w:line="300"/>
      </w:pPr>
      <w:r>
        <w:rPr>
          <w:sz w:val="22"/>
          <w:szCs w:val="22"/>
        </w:rPr>
        <w:t xml:space="preserve">The automation already built and running for Salud works entirely inside eCW. For each claim sitting in the “Medcor Ready” queue, it opens the claim, reads the progress note and existing CPT/ICD data, and applies the specific corrections defined in Salud's own Charge Condition Document — for example, setting the correct place of service and modifier for a telehealth visit, or applying the right billing rule for a given payer. Every correction is shown to a staff member for approval before anything is saved back to eCW.</w:t>
      </w:r>
    </w:p>
    <w:p>
      <w:pPr>
        <w:pStyle w:val="Heading1"/>
        <w:spacing w:after="160" w:before="320"/>
      </w:pPr>
      <w:r>
        <w:rPr>
          <w:b/>
          <w:bCs/>
          <w:color w:val="1F3864"/>
          <w:sz w:val="26"/>
          <w:szCs w:val="26"/>
        </w:rPr>
        <w:t xml:space="preserve">Why the Two Do Not Overlap</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3600"/>
      </w:tblGrid>
      <w:tr>
        <w:tc>
          <w:tcPr>
            <w:tcW w:type="dxa" w:w="2400"/>
            <w:shd w:fill="1F3864" w:val="clear"/>
            <w:tcMar>
              <w:top w:type="dxa" w:w="100"/>
              <w:left w:type="dxa" w:w="120"/>
              <w:bottom w:type="dxa" w:w="100"/>
              <w:right w:type="dxa" w:w="120"/>
            </w:tcMar>
          </w:tcPr>
          <w:p>
            <w:r>
              <w:rPr>
                <w:b/>
                <w:bCs/>
                <w:color w:val="FFFFFF"/>
                <w:sz w:val="20"/>
                <w:szCs w:val="20"/>
              </w:rPr>
              <w:t xml:space="preserve"/>
            </w:r>
          </w:p>
        </w:tc>
        <w:tc>
          <w:tcPr>
            <w:tcW w:type="dxa" w:w="3600"/>
            <w:shd w:fill="1F3864" w:val="clear"/>
            <w:tcMar>
              <w:top w:type="dxa" w:w="100"/>
              <w:left w:type="dxa" w:w="120"/>
              <w:bottom w:type="dxa" w:w="100"/>
              <w:right w:type="dxa" w:w="120"/>
            </w:tcMar>
          </w:tcPr>
          <w:p>
            <w:r>
              <w:rPr>
                <w:b/>
                <w:bCs/>
                <w:color w:val="FFFFFF"/>
                <w:sz w:val="20"/>
                <w:szCs w:val="20"/>
              </w:rPr>
              <w:t xml:space="preserve">Sarva RCM Integration API</w:t>
            </w:r>
          </w:p>
        </w:tc>
        <w:tc>
          <w:tcPr>
            <w:tcW w:type="dxa" w:w="3600"/>
            <w:shd w:fill="1F3864" w:val="clear"/>
            <w:tcMar>
              <w:top w:type="dxa" w:w="100"/>
              <w:left w:type="dxa" w:w="120"/>
              <w:bottom w:type="dxa" w:w="100"/>
              <w:right w:type="dxa" w:w="120"/>
            </w:tcMar>
          </w:tcPr>
          <w:p>
            <w:r>
              <w:rPr>
                <w:b/>
                <w:bCs/>
                <w:color w:val="FFFFFF"/>
                <w:sz w:val="20"/>
                <w:szCs w:val="20"/>
              </w:rPr>
              <w:t xml:space="preserve">Charge Validation Process (this project)</w:t>
            </w:r>
          </w:p>
        </w:tc>
      </w:tr>
      <w:tr>
        <w:tc>
          <w:tcPr>
            <w:tcW w:type="dxa" w:w="2400"/>
            <w:tcMar>
              <w:top w:type="dxa" w:w="100"/>
              <w:left w:type="dxa" w:w="120"/>
              <w:bottom w:type="dxa" w:w="100"/>
              <w:right w:type="dxa" w:w="120"/>
            </w:tcMar>
          </w:tcPr>
          <w:p>
            <w:r>
              <w:rPr>
                <w:b w:val="false"/>
                <w:bCs w:val="false"/>
                <w:color w:val="000000"/>
                <w:sz w:val="20"/>
                <w:szCs w:val="20"/>
              </w:rPr>
              <w:t xml:space="preserve">System it talks to</w:t>
            </w:r>
          </w:p>
        </w:tc>
        <w:tc>
          <w:tcPr>
            <w:tcW w:type="dxa" w:w="3600"/>
            <w:tcMar>
              <w:top w:type="dxa" w:w="100"/>
              <w:left w:type="dxa" w:w="120"/>
              <w:bottom w:type="dxa" w:w="100"/>
              <w:right w:type="dxa" w:w="120"/>
            </w:tcMar>
          </w:tcPr>
          <w:p>
            <w:r>
              <w:rPr>
                <w:b w:val="false"/>
                <w:bCs w:val="false"/>
                <w:color w:val="000000"/>
                <w:sz w:val="20"/>
                <w:szCs w:val="20"/>
              </w:rPr>
              <w:t xml:space="preserve">Clearinghouses and payer portals (TriZetto, Availity, UHC, Stedi)</w:t>
            </w:r>
          </w:p>
        </w:tc>
        <w:tc>
          <w:tcPr>
            <w:tcW w:type="dxa" w:w="3600"/>
            <w:tcMar>
              <w:top w:type="dxa" w:w="100"/>
              <w:left w:type="dxa" w:w="120"/>
              <w:bottom w:type="dxa" w:w="100"/>
              <w:right w:type="dxa" w:w="120"/>
            </w:tcMar>
          </w:tcPr>
          <w:p>
            <w:r>
              <w:rPr>
                <w:b w:val="false"/>
                <w:bCs w:val="false"/>
                <w:color w:val="000000"/>
                <w:sz w:val="20"/>
                <w:szCs w:val="20"/>
              </w:rPr>
              <w:t xml:space="preserve">eCW directly, via the same screens a biller uses</w:t>
            </w:r>
          </w:p>
        </w:tc>
      </w:tr>
      <w:tr>
        <w:tc>
          <w:tcPr>
            <w:tcW w:type="dxa" w:w="2400"/>
            <w:tcMar>
              <w:top w:type="dxa" w:w="100"/>
              <w:left w:type="dxa" w:w="120"/>
              <w:bottom w:type="dxa" w:w="100"/>
              <w:right w:type="dxa" w:w="120"/>
            </w:tcMar>
          </w:tcPr>
          <w:p>
            <w:r>
              <w:rPr>
                <w:b w:val="false"/>
                <w:bCs w:val="false"/>
                <w:color w:val="000000"/>
                <w:sz w:val="20"/>
                <w:szCs w:val="20"/>
              </w:rPr>
              <w:t xml:space="preserve">Stage of the billing cycle</w:t>
            </w:r>
          </w:p>
        </w:tc>
        <w:tc>
          <w:tcPr>
            <w:tcW w:type="dxa" w:w="3600"/>
            <w:tcMar>
              <w:top w:type="dxa" w:w="100"/>
              <w:left w:type="dxa" w:w="120"/>
              <w:bottom w:type="dxa" w:w="100"/>
              <w:right w:type="dxa" w:w="120"/>
            </w:tcMar>
          </w:tcPr>
          <w:p>
            <w:r>
              <w:rPr>
                <w:b w:val="false"/>
                <w:bCs w:val="false"/>
                <w:color w:val="000000"/>
                <w:sz w:val="20"/>
                <w:szCs w:val="20"/>
              </w:rPr>
              <w:t xml:space="preserve">Creating a claim (charge_entry) or tracking it after submission (status, denials, payments)</w:t>
            </w:r>
          </w:p>
        </w:tc>
        <w:tc>
          <w:tcPr>
            <w:tcW w:type="dxa" w:w="3600"/>
            <w:tcMar>
              <w:top w:type="dxa" w:w="100"/>
              <w:left w:type="dxa" w:w="120"/>
              <w:bottom w:type="dxa" w:w="100"/>
              <w:right w:type="dxa" w:w="120"/>
            </w:tcMar>
          </w:tcPr>
          <w:p>
            <w:r>
              <w:rPr>
                <w:b w:val="false"/>
                <w:bCs w:val="false"/>
                <w:color w:val="000000"/>
                <w:sz w:val="20"/>
                <w:szCs w:val="20"/>
              </w:rPr>
              <w:t xml:space="preserve">Correcting a claim's fields before it is ever submitted</w:t>
            </w:r>
          </w:p>
        </w:tc>
      </w:tr>
      <w:tr>
        <w:tc>
          <w:tcPr>
            <w:tcW w:type="dxa" w:w="2400"/>
            <w:tcMar>
              <w:top w:type="dxa" w:w="100"/>
              <w:left w:type="dxa" w:w="120"/>
              <w:bottom w:type="dxa" w:w="100"/>
              <w:right w:type="dxa" w:w="120"/>
            </w:tcMar>
          </w:tcPr>
          <w:p>
            <w:r>
              <w:rPr>
                <w:b w:val="false"/>
                <w:bCs w:val="false"/>
                <w:color w:val="000000"/>
                <w:sz w:val="20"/>
                <w:szCs w:val="20"/>
              </w:rPr>
              <w:t xml:space="preserve">Business rules applied</w:t>
            </w:r>
          </w:p>
        </w:tc>
        <w:tc>
          <w:tcPr>
            <w:tcW w:type="dxa" w:w="3600"/>
            <w:tcMar>
              <w:top w:type="dxa" w:w="100"/>
              <w:left w:type="dxa" w:w="120"/>
              <w:bottom w:type="dxa" w:w="100"/>
              <w:right w:type="dxa" w:w="120"/>
            </w:tcMar>
          </w:tcPr>
          <w:p>
            <w:r>
              <w:rPr>
                <w:b w:val="false"/>
                <w:bCs w:val="false"/>
                <w:color w:val="000000"/>
                <w:sz w:val="20"/>
                <w:szCs w:val="20"/>
              </w:rPr>
              <w:t xml:space="preserve">Generic, structural checks (missing fields, invalid codes)</w:t>
            </w:r>
          </w:p>
        </w:tc>
        <w:tc>
          <w:tcPr>
            <w:tcW w:type="dxa" w:w="3600"/>
            <w:tcMar>
              <w:top w:type="dxa" w:w="100"/>
              <w:left w:type="dxa" w:w="120"/>
              <w:bottom w:type="dxa" w:w="100"/>
              <w:right w:type="dxa" w:w="120"/>
            </w:tcMar>
          </w:tcPr>
          <w:p>
            <w:r>
              <w:rPr>
                <w:b w:val="false"/>
                <w:bCs w:val="false"/>
                <w:color w:val="000000"/>
                <w:sz w:val="20"/>
                <w:szCs w:val="20"/>
              </w:rPr>
              <w:t xml:space="preserve">Salud's own 59 documented billing rules (telehealth POS/modifiers, payer-specific lab codes, program adjustments, etc.)</w:t>
            </w:r>
          </w:p>
        </w:tc>
      </w:tr>
      <w:tr>
        <w:tc>
          <w:tcPr>
            <w:tcW w:type="dxa" w:w="2400"/>
            <w:tcMar>
              <w:top w:type="dxa" w:w="100"/>
              <w:left w:type="dxa" w:w="120"/>
              <w:bottom w:type="dxa" w:w="100"/>
              <w:right w:type="dxa" w:w="120"/>
            </w:tcMar>
          </w:tcPr>
          <w:p>
            <w:r>
              <w:rPr>
                <w:b w:val="false"/>
                <w:bCs w:val="false"/>
                <w:color w:val="000000"/>
                <w:sz w:val="20"/>
                <w:szCs w:val="20"/>
              </w:rPr>
              <w:t xml:space="preserve">Status</w:t>
            </w:r>
          </w:p>
        </w:tc>
        <w:tc>
          <w:tcPr>
            <w:tcW w:type="dxa" w:w="3600"/>
            <w:tcMar>
              <w:top w:type="dxa" w:w="100"/>
              <w:left w:type="dxa" w:w="120"/>
              <w:bottom w:type="dxa" w:w="100"/>
              <w:right w:type="dxa" w:w="120"/>
            </w:tcMar>
          </w:tcPr>
          <w:p>
            <w:r>
              <w:rPr>
                <w:b w:val="false"/>
                <w:bCs w:val="false"/>
                <w:color w:val="000000"/>
                <w:sz w:val="20"/>
                <w:szCs w:val="20"/>
              </w:rPr>
              <w:t xml:space="preserve">Draft specification — “open to revision before implementation” per its own cover page</w:t>
            </w:r>
          </w:p>
        </w:tc>
        <w:tc>
          <w:tcPr>
            <w:tcW w:type="dxa" w:w="3600"/>
            <w:tcMar>
              <w:top w:type="dxa" w:w="100"/>
              <w:left w:type="dxa" w:w="120"/>
              <w:bottom w:type="dxa" w:w="100"/>
              <w:right w:type="dxa" w:w="120"/>
            </w:tcMar>
          </w:tcPr>
          <w:p>
            <w:r>
              <w:rPr>
                <w:b w:val="false"/>
                <w:bCs w:val="false"/>
                <w:color w:val="000000"/>
                <w:sz w:val="20"/>
                <w:szCs w:val="20"/>
              </w:rPr>
              <w:t xml:space="preserve">Built, tested, and running against real claims today</w:t>
            </w:r>
          </w:p>
        </w:tc>
      </w:tr>
    </w:tbl>
    <w:p>
      <w:pPr>
        <w:spacing w:before="240"/>
      </w:pPr>
    </w:p>
    <w:p>
      <w:pPr>
        <w:spacing w:after="160" w:line="300"/>
      </w:pPr>
      <w:r>
        <w:rPr>
          <w:sz w:val="22"/>
          <w:szCs w:val="22"/>
        </w:rPr>
        <w:t xml:space="preserve">Four points, in short:</w:t>
      </w:r>
    </w:p>
    <w:p>
      <w:pPr>
        <w:pStyle w:val="ListParagraph"/>
        <w:numPr>
          <w:ilvl w:val="0"/>
          <w:numId w:val="2"/>
        </w:numPr>
        <w:spacing w:after="120" w:line="300"/>
      </w:pPr>
      <w:r>
        <w:rPr>
          <w:b/>
          <w:bCs/>
          <w:sz w:val="22"/>
          <w:szCs w:val="22"/>
        </w:rPr>
        <w:t xml:space="preserve">No eCW connection. </w:t>
      </w:r>
      <w:r>
        <w:rPr>
          <w:sz w:val="22"/>
          <w:szCs w:val="22"/>
        </w:rPr>
        <w:t xml:space="preserve">The Sarva specification only talks to clearinghouses and payer portals. It has no described path into eCW, which is the system this project automates.</w:t>
      </w:r>
    </w:p>
    <w:p>
      <w:pPr>
        <w:pStyle w:val="ListParagraph"/>
        <w:numPr>
          <w:ilvl w:val="0"/>
          <w:numId w:val="2"/>
        </w:numPr>
        <w:spacing w:after="120" w:line="300"/>
      </w:pPr>
      <w:r>
        <w:rPr>
          <w:b/>
          <w:bCs/>
          <w:sz w:val="22"/>
          <w:szCs w:val="22"/>
        </w:rPr>
        <w:t xml:space="preserve">Different point in the billing cycle. </w:t>
      </w:r>
      <w:r>
        <w:rPr>
          <w:sz w:val="22"/>
          <w:szCs w:val="22"/>
        </w:rPr>
        <w:t xml:space="preserve">Sarva's charge_entry creates a claim from scratch, and its other three processes track a claim after it has already been submitted. This project's job is the step in between — correcting a claim's fields before submission — which none of Sarva's four processes cover.</w:t>
      </w:r>
    </w:p>
    <w:p>
      <w:pPr>
        <w:pStyle w:val="ListParagraph"/>
        <w:numPr>
          <w:ilvl w:val="0"/>
          <w:numId w:val="2"/>
        </w:numPr>
        <w:spacing w:after="120" w:line="300"/>
      </w:pPr>
      <w:r>
        <w:rPr>
          <w:b/>
          <w:bCs/>
          <w:sz w:val="22"/>
          <w:szCs w:val="22"/>
        </w:rPr>
        <w:t xml:space="preserve">No knowledge of Salud's rules. </w:t>
      </w:r>
      <w:r>
        <w:rPr>
          <w:sz w:val="22"/>
          <w:szCs w:val="22"/>
        </w:rPr>
        <w:t xml:space="preserve">Sarva validates generic, structural issues (a missing field, an invalid code). It has no awareness of Salud's 59 specific billing rules, and adopting it would not reduce the need to build and maintain that logic ourselves.</w:t>
      </w:r>
    </w:p>
    <w:p>
      <w:pPr>
        <w:pStyle w:val="ListParagraph"/>
        <w:numPr>
          <w:ilvl w:val="0"/>
          <w:numId w:val="2"/>
        </w:numPr>
        <w:spacing w:after="120" w:line="300"/>
      </w:pPr>
      <w:r>
        <w:rPr>
          <w:b/>
          <w:bCs/>
          <w:sz w:val="22"/>
          <w:szCs w:val="22"/>
        </w:rPr>
        <w:t xml:space="preserve">Not yet a finished product. </w:t>
      </w:r>
      <w:r>
        <w:rPr>
          <w:sz w:val="22"/>
          <w:szCs w:val="22"/>
        </w:rPr>
        <w:t xml:space="preserve">The document explicitly describes itself as a draft specification, with field names and behavior still open to change before anything is built.</w:t>
      </w:r>
    </w:p>
    <w:p>
      <w:pPr>
        <w:pStyle w:val="Heading1"/>
        <w:spacing w:after="160" w:before="320"/>
      </w:pPr>
      <w:r>
        <w:rPr>
          <w:b/>
          <w:bCs/>
          <w:color w:val="1F3864"/>
          <w:sz w:val="26"/>
          <w:szCs w:val="26"/>
        </w:rPr>
        <w:t xml:space="preserve">Recommendation</w:t>
      </w:r>
    </w:p>
    <w:p>
      <w:pPr>
        <w:spacing w:after="160" w:line="300"/>
      </w:pPr>
      <w:r>
        <w:rPr>
          <w:sz w:val="22"/>
          <w:szCs w:val="22"/>
        </w:rPr>
        <w:t xml:space="preserve">The Sarva RCM Integration API addresses a different part of the revenue cycle — claim creation and post-submission tracking through external clearinghouses — and would not replace, simplify, or accelerate any part of the Charge Validation Process. No integration work is recommended at this time. If Salud later wants to automate claim-status checks, denial handling, or payment posting once claims leave eCW, this specification (once finalized) may be worth revisiting for that separate purpose.</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2026-09-16T14:36:17.794Z</dcterms:created>
  <dcterms:modified xsi:type="dcterms:W3CDTF">2026-09-16T14:36:17.796Z</dcterms:modified>
</cp:coreProperties>
</file>

<file path=docProps/custom.xml><?xml version="1.0" encoding="utf-8"?>
<Properties xmlns="http://schemas.openxmlformats.org/officeDocument/2006/custom-properties" xmlns:vt="http://schemas.openxmlformats.org/officeDocument/2006/docPropsVTypes"/>
</file>